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28DFF" w14:textId="1F69FFC0" w:rsidR="00507984" w:rsidRPr="00CE0179" w:rsidRDefault="002450F4" w:rsidP="00507984">
      <w:pPr>
        <w:rPr>
          <w:b/>
          <w:bCs/>
        </w:rPr>
      </w:pPr>
      <w:r w:rsidRPr="00CE0179">
        <w:rPr>
          <w:b/>
          <w:bCs/>
        </w:rPr>
        <w:t>Ford nap</w:t>
      </w:r>
      <w:r w:rsidR="00C8447A">
        <w:rPr>
          <w:b/>
          <w:bCs/>
        </w:rPr>
        <w:t>oveduje</w:t>
      </w:r>
      <w:r w:rsidRPr="00CE0179">
        <w:rPr>
          <w:b/>
          <w:bCs/>
        </w:rPr>
        <w:t xml:space="preserve"> v Evropi: sedem novih modelov in pametne tehnologije, ki zagotavljajo nemoteno delovanje dostavnih vozil in dobičkonosnost podjetij</w:t>
      </w:r>
    </w:p>
    <w:p w14:paraId="7ACE3B63" w14:textId="5B4EDD6B" w:rsidR="00507984" w:rsidRDefault="00507984" w:rsidP="00507984">
      <w:r>
        <w:t xml:space="preserve">· </w:t>
      </w:r>
      <w:r w:rsidR="005F04B9" w:rsidRPr="005F04B9">
        <w:t>Ford napoveduje obsežno uvedbo novih izdelkov in storitev, s katerimi želi v Evropi uspešno konkurirati in prevladati; ponudba je prilagojena posebnim zahtevam evropskih kupcev</w:t>
      </w:r>
      <w:r w:rsidR="005F04B9">
        <w:t>.</w:t>
      </w:r>
    </w:p>
    <w:p w14:paraId="54C9374E" w14:textId="77777777" w:rsidR="00507984" w:rsidRDefault="00507984" w:rsidP="00507984"/>
    <w:p w14:paraId="465B8C5E" w14:textId="35EF7811" w:rsidR="00507984" w:rsidRDefault="00507984" w:rsidP="00507984">
      <w:r>
        <w:t xml:space="preserve">· </w:t>
      </w:r>
      <w:r w:rsidR="008006DC" w:rsidRPr="008006DC">
        <w:t>Strategija prihaja skupaj z novo globalno platformo znamke 'Ready Set Ford', ki temelji na Fordovi vodilni vlogi na področju dela, vznemirljivih zmogljivosti in terenskih pustolovščin</w:t>
      </w:r>
      <w:r w:rsidR="008006DC">
        <w:t>.</w:t>
      </w:r>
    </w:p>
    <w:p w14:paraId="4124D49B" w14:textId="77777777" w:rsidR="00507984" w:rsidRDefault="00507984" w:rsidP="00507984"/>
    <w:p w14:paraId="3CFD0BB6" w14:textId="306057A5" w:rsidR="00507984" w:rsidRDefault="00507984" w:rsidP="00507984">
      <w:r>
        <w:t xml:space="preserve">· </w:t>
      </w:r>
      <w:r w:rsidR="00EB129B" w:rsidRPr="00EB129B">
        <w:t>Ford bo branil in širil svoje vodstvo na področju gospodarskih vozil z razširitvijo ponudbe in povezanih storitev, ki podatke o vozilih pretvarjajo v merljivo produktivnost</w:t>
      </w:r>
      <w:r w:rsidR="00EB129B">
        <w:t>.</w:t>
      </w:r>
    </w:p>
    <w:p w14:paraId="52B710F2" w14:textId="77777777" w:rsidR="00507984" w:rsidRDefault="00507984" w:rsidP="00507984"/>
    <w:p w14:paraId="5411E6DC" w14:textId="1F36FC22" w:rsidR="00507984" w:rsidRDefault="00507984" w:rsidP="00507984">
      <w:r>
        <w:t xml:space="preserve">· </w:t>
      </w:r>
      <w:r w:rsidR="00A92927" w:rsidRPr="00A92927">
        <w:t>Ford pomlajuje svojo ponudbo osebnih vozil s petimi povsem novimi 'večenergetskimi' vozili, ki terenski DNK združujejo s stoletnimi izkušnjami, pridobljenimi v reliju</w:t>
      </w:r>
      <w:r w:rsidR="00A92927">
        <w:t>.</w:t>
      </w:r>
    </w:p>
    <w:p w14:paraId="4DD262AF" w14:textId="77777777" w:rsidR="00507984" w:rsidRDefault="00507984" w:rsidP="00507984"/>
    <w:p w14:paraId="1B20A878" w14:textId="14DAC8A8" w:rsidR="00507984" w:rsidRDefault="00507984" w:rsidP="00507984">
      <w:r>
        <w:t xml:space="preserve">· </w:t>
      </w:r>
      <w:r w:rsidR="006B33AE" w:rsidRPr="006B33AE">
        <w:t>Ford poziva k ukrepanju: regulativne poti morajo biti usklajene z realnostjo potrošnikov in zagotoviti prilagodljiv prehod v električno prihodnost</w:t>
      </w:r>
      <w:r w:rsidR="006B33AE">
        <w:t>.</w:t>
      </w:r>
    </w:p>
    <w:p w14:paraId="4EEBD5B7" w14:textId="77777777" w:rsidR="00507984" w:rsidRDefault="00507984" w:rsidP="00507984"/>
    <w:p w14:paraId="4872AA51" w14:textId="08719A6D" w:rsidR="00507984" w:rsidRDefault="006B33AE" w:rsidP="00507984">
      <w:r>
        <w:t>Salzburg</w:t>
      </w:r>
      <w:r w:rsidR="00507984">
        <w:t>, A</w:t>
      </w:r>
      <w:r>
        <w:t>v</w:t>
      </w:r>
      <w:r w:rsidR="00507984">
        <w:t>stri</w:t>
      </w:r>
      <w:r>
        <w:t>j</w:t>
      </w:r>
      <w:r w:rsidR="00507984">
        <w:t xml:space="preserve">a, </w:t>
      </w:r>
      <w:r>
        <w:t xml:space="preserve">18. maja </w:t>
      </w:r>
      <w:r w:rsidR="00507984">
        <w:t xml:space="preserve">2026 </w:t>
      </w:r>
      <w:r>
        <w:t>–</w:t>
      </w:r>
      <w:r w:rsidR="00507984">
        <w:t xml:space="preserve"> </w:t>
      </w:r>
      <w:r w:rsidR="00B86F0A" w:rsidRPr="00B86F0A">
        <w:t>Ford je na srečanju evropskih trgovcev in partnerjev podrobno predstavil novo, dinamično vizijo za svojo prihodnost v Evropi. S celovitim uvajanjem izdelkov in tehnologij za poslovne in maloprodajne stranke, načrtovanim v naslednjih treh letih, Ford obnavlja svojo zavezo evropskim voznikom in podjetjem.</w:t>
      </w:r>
    </w:p>
    <w:p w14:paraId="71FCC149" w14:textId="77777777" w:rsidR="00507984" w:rsidRDefault="00507984" w:rsidP="00507984"/>
    <w:p w14:paraId="089001E3" w14:textId="4398212E" w:rsidR="00507984" w:rsidRDefault="009F4ECE" w:rsidP="00507984">
      <w:r w:rsidRPr="009F4ECE">
        <w:t>Fordovo evropsko strategijo podpira nova globalna blagovna znamka Ready Set Ford, ki se osredotoča na področja, na katerih Ford resnično izstopa in se razlikuje: izdelava, vznemirjenje in pustolovščine. Prve evropske kampanje pod zastavo Ready Set Ford se začnejo ta mesec.</w:t>
      </w:r>
    </w:p>
    <w:p w14:paraId="17A51864" w14:textId="77777777" w:rsidR="00507984" w:rsidRDefault="00507984" w:rsidP="00507984"/>
    <w:p w14:paraId="33A56D46" w14:textId="598AD964" w:rsidR="00507984" w:rsidRPr="00D63790" w:rsidRDefault="00507046" w:rsidP="00507984">
      <w:pPr>
        <w:rPr>
          <w:b/>
          <w:bCs/>
        </w:rPr>
      </w:pPr>
      <w:r w:rsidRPr="00D63790">
        <w:rPr>
          <w:b/>
          <w:bCs/>
        </w:rPr>
        <w:t>Ford Pro se razvija iz proizvajalca vozil v partnerja za produktivnost za evropska podjetja</w:t>
      </w:r>
    </w:p>
    <w:p w14:paraId="6C5DF211" w14:textId="77777777" w:rsidR="00507984" w:rsidRDefault="00507984" w:rsidP="00507984"/>
    <w:p w14:paraId="6B1C55A2" w14:textId="4933A342" w:rsidR="00507984" w:rsidRDefault="00874BC0" w:rsidP="00507984">
      <w:r w:rsidRPr="00874BC0">
        <w:lastRenderedPageBreak/>
        <w:t>Ford Pro, že 11 let zapored vodilna blagovna znamka gospodarskih vozil v Evropi,</w:t>
      </w:r>
      <w:r w:rsidRPr="00874BC0">
        <w:rPr>
          <w:vertAlign w:val="superscript"/>
        </w:rPr>
        <w:t>1</w:t>
      </w:r>
      <w:r w:rsidRPr="00874BC0">
        <w:t xml:space="preserve"> se razvija iz proizvajalca vozil v nepogrešljivega partnerja za produktivnost za podjetja vseh velikosti, ki izkorišča programsko opremo in storitve za povečanje donosa vsakega vozila.</w:t>
      </w:r>
    </w:p>
    <w:p w14:paraId="390E1193" w14:textId="77777777" w:rsidR="00507984" w:rsidRDefault="00507984" w:rsidP="00507984"/>
    <w:p w14:paraId="6BC519A1" w14:textId="15EBC570" w:rsidR="00507984" w:rsidRDefault="00DF77CD" w:rsidP="00507984">
      <w:r w:rsidRPr="00DF77CD">
        <w:t xml:space="preserve">Strategija podpira globalni cilj Forda, da </w:t>
      </w:r>
      <w:r w:rsidR="00E77635" w:rsidRPr="00DF77CD">
        <w:t xml:space="preserve">Ford Pro </w:t>
      </w:r>
      <w:r w:rsidRPr="00DF77CD">
        <w:t xml:space="preserve">25 odstotkov </w:t>
      </w:r>
      <w:r w:rsidR="00213F33">
        <w:t>prihodkov</w:t>
      </w:r>
      <w:r w:rsidR="00BE49E5">
        <w:t xml:space="preserve"> poslovanja </w:t>
      </w:r>
      <w:r w:rsidR="00E73458">
        <w:t xml:space="preserve">brez obresti in </w:t>
      </w:r>
      <w:r w:rsidR="00E77635">
        <w:t xml:space="preserve">davkov </w:t>
      </w:r>
      <w:r w:rsidR="00BE49E5">
        <w:t>(</w:t>
      </w:r>
      <w:r w:rsidRPr="00DF77CD">
        <w:t>EBIT</w:t>
      </w:r>
      <w:r w:rsidR="00BE49E5">
        <w:t>)</w:t>
      </w:r>
      <w:r w:rsidRPr="00DF77CD">
        <w:t xml:space="preserve"> ustvari s programsko opremo in storitvami. V prvem četrtletju leta 2026 so se plačane naročnine na programsko opremo po vsem svetu povečale za 30 odstotkov na 879.000, pri čemer so bruto marže presegle 50 odstotkov</w:t>
      </w:r>
      <w:r w:rsidR="00507984">
        <w:t>.</w:t>
      </w:r>
    </w:p>
    <w:p w14:paraId="03751E8B" w14:textId="77777777" w:rsidR="00507984" w:rsidRDefault="00507984" w:rsidP="00507984"/>
    <w:p w14:paraId="3F216116" w14:textId="22A5A694" w:rsidR="00507984" w:rsidRDefault="00507984" w:rsidP="00507984">
      <w:r>
        <w:t>“</w:t>
      </w:r>
      <w:r w:rsidR="003C4F52" w:rsidRPr="003C4F52">
        <w:t>Ford Pro je hrbtenica našega evropskega poslovanja</w:t>
      </w:r>
      <w:r>
        <w:t xml:space="preserve">,” </w:t>
      </w:r>
      <w:r w:rsidR="003C4F52">
        <w:t xml:space="preserve">je povedal </w:t>
      </w:r>
      <w:r>
        <w:t xml:space="preserve">Jim Baumbick, </w:t>
      </w:r>
      <w:r w:rsidR="00A864CC" w:rsidRPr="00A864CC">
        <w:t>predsednik Forda v Evropi</w:t>
      </w:r>
      <w:r>
        <w:t>. “</w:t>
      </w:r>
      <w:r w:rsidR="00140A7B" w:rsidRPr="00140A7B">
        <w:t>Ne prodajamo le dostavnih vozil in pickupov, ampak ponujamo integriran ekosistem vozil, programske opreme in storitev. Naša vozila so vodilna na trgu, okoli njih pa smo zgradili pospeševalnik produktivnosti, ki nima konkurence. Za naše stranke to ni le prevoz, temveč boljša donosnost naložb</w:t>
      </w:r>
      <w:r>
        <w:t>.”</w:t>
      </w:r>
    </w:p>
    <w:p w14:paraId="7E96515F" w14:textId="77777777" w:rsidR="00507984" w:rsidRDefault="00507984" w:rsidP="00507984"/>
    <w:p w14:paraId="67BC952E" w14:textId="0CF0A07F" w:rsidR="00507984" w:rsidRDefault="00B553FA" w:rsidP="00507984">
      <w:r w:rsidRPr="00B553FA">
        <w:t xml:space="preserve">Storitve za nadzor </w:t>
      </w:r>
      <w:r w:rsidR="006B58BB">
        <w:t xml:space="preserve">razpoložljivosti </w:t>
      </w:r>
      <w:r w:rsidRPr="00B553FA">
        <w:t>Ford Pro uporabljajo podatke povezanih vozil in prognostično inteligenco za prepoznavanje težav, še preden se razvijejo v resne probleme. Od leta 2019 je vsako vozilo Ford Pro opremljeno z vgrajenim modemom. Danes je povezanih več kot 1,2 milijona evropskih strank, ki dnevno ustvarijo skoraj šest milijonov signalov o stanju vozila. Samo lani so Fordove povezane storitve našim strankam zagotovile skoraj milijon dodatnih dni časa delovanja</w:t>
      </w:r>
      <w:r w:rsidR="00507984">
        <w:t>.</w:t>
      </w:r>
    </w:p>
    <w:p w14:paraId="48B406AA" w14:textId="77777777" w:rsidR="00507984" w:rsidRDefault="00507984" w:rsidP="00507984"/>
    <w:p w14:paraId="3D707263" w14:textId="5BC68821" w:rsidR="00507984" w:rsidRDefault="00722659" w:rsidP="00507984">
      <w:r w:rsidRPr="00722659">
        <w:t xml:space="preserve">Ford Pro te zmogljivosti zdaj prvič razširja na mala podjetja. S pomočjo novih storitev </w:t>
      </w:r>
      <w:r w:rsidR="006D0E65">
        <w:t>razpoložljivosti za trgovce (</w:t>
      </w:r>
      <w:r w:rsidRPr="00722659">
        <w:t>Dealer Uptime Services</w:t>
      </w:r>
      <w:r w:rsidR="006D0E65">
        <w:t>)</w:t>
      </w:r>
      <w:r w:rsidRPr="00722659">
        <w:t xml:space="preserve"> lahko vsak Fordov trgovec postane specializiran upravitelj razpoložljivosti – spremlja stanje vozila, proaktivno stopa v stik in pripravi dele ter servisne delavnice, še preden vozilo prispe. Prvi pilotni projekti kažejo, da se časi popravil skrajšajo za do 50 odstotkov, pri čemer je 80 odstotkov popravil odkritih proaktivno.</w:t>
      </w:r>
      <w:r w:rsidR="00507984" w:rsidRPr="006D0E65">
        <w:rPr>
          <w:vertAlign w:val="superscript"/>
        </w:rPr>
        <w:t>2</w:t>
      </w:r>
    </w:p>
    <w:p w14:paraId="1DE11682" w14:textId="77777777" w:rsidR="00507984" w:rsidRDefault="00507984" w:rsidP="00507984"/>
    <w:p w14:paraId="5F294B32" w14:textId="14022FEA" w:rsidR="00507984" w:rsidRDefault="00E059DB" w:rsidP="00507984">
      <w:r w:rsidRPr="00E059DB">
        <w:t>Za stranke to pomeni več časa delovanja, več produktivnih dni in več prihodkov z vsakim vozilom, ki ga imajo v lasti. Za trgovce to pomeni več potencialnih strank za servis, večjo zvestobo strank in znatno povečanje potenciala prihodkov. Oboje je mogoče doseči s preoblikovanjem trgovca v partnerja za produktivnost, ki temelji na podatkih in je opremljen z vpogledom, orodji in povezljivostjo, da lahko njegove poslovne stranke še naprej ustvarjajo dobiček.</w:t>
      </w:r>
    </w:p>
    <w:p w14:paraId="4E36B26D" w14:textId="77777777" w:rsidR="00507984" w:rsidRDefault="00507984" w:rsidP="00507984"/>
    <w:p w14:paraId="2367E3B4" w14:textId="39640535" w:rsidR="00507984" w:rsidRDefault="005043DE" w:rsidP="00507984">
      <w:r w:rsidRPr="005043DE">
        <w:t>Ford Pro prav tako širi ponudbo izdelkov z dvema novima voziloma, zasnovanima za zelo različne, a enako zahtevne naloge</w:t>
      </w:r>
      <w:r w:rsidR="00507984">
        <w:t>:</w:t>
      </w:r>
    </w:p>
    <w:p w14:paraId="63973DA4" w14:textId="77777777" w:rsidR="00507984" w:rsidRDefault="00507984" w:rsidP="00507984"/>
    <w:p w14:paraId="3C24A0D5" w14:textId="221928F3" w:rsidR="00507984" w:rsidRDefault="00507984" w:rsidP="00507984">
      <w:r>
        <w:t xml:space="preserve">· </w:t>
      </w:r>
      <w:r w:rsidR="00DB70D7" w:rsidRPr="00DB70D7">
        <w:t>Ranger Super Duty je že na voljo: izjemna zmogljivost za najtežja dela v Evropi</w:t>
      </w:r>
    </w:p>
    <w:p w14:paraId="643AE691" w14:textId="3E4088A4" w:rsidR="00507984" w:rsidRDefault="003B766B" w:rsidP="00507984">
      <w:r w:rsidRPr="003B766B">
        <w:t>Ranger je že 11 let zapored najbolje prodajani pickup v Evropi.</w:t>
      </w:r>
      <w:r w:rsidRPr="003B766B">
        <w:rPr>
          <w:vertAlign w:val="superscript"/>
        </w:rPr>
        <w:t>1</w:t>
      </w:r>
      <w:r w:rsidRPr="003B766B">
        <w:t xml:space="preserve"> Novi Ranger Super Duty razširja družino na omogočanje izvajanja najzahtevnejših del na svetu – za reševalne službe, gozdarstvo, rudarstvo in vojaške namene. Zagotavlja skupno kombinirano maso (tovorna zmogljivost + vlečna zmogljivost) 8 ton</w:t>
      </w:r>
      <w:r w:rsidRPr="00CF45F9">
        <w:rPr>
          <w:vertAlign w:val="superscript"/>
        </w:rPr>
        <w:t>3,4</w:t>
      </w:r>
      <w:r w:rsidRPr="003B766B">
        <w:t xml:space="preserve"> in lahko vleče priklopnik z maso do 4,5 tone,</w:t>
      </w:r>
      <w:r w:rsidRPr="00CF45F9">
        <w:rPr>
          <w:vertAlign w:val="superscript"/>
        </w:rPr>
        <w:t>4</w:t>
      </w:r>
      <w:r w:rsidRPr="003B766B">
        <w:t xml:space="preserve"> zdaj ga odlikuje nosilnost skoraj 2 toni,</w:t>
      </w:r>
      <w:r w:rsidRPr="00CF45F9">
        <w:rPr>
          <w:vertAlign w:val="superscript"/>
        </w:rPr>
        <w:t>3</w:t>
      </w:r>
      <w:r w:rsidRPr="003B766B">
        <w:t xml:space="preserve"> vzmetenje je prilagojeno za </w:t>
      </w:r>
      <w:r w:rsidR="00260EA9">
        <w:t xml:space="preserve">velike obremenitve </w:t>
      </w:r>
      <w:r w:rsidR="00C12AFF">
        <w:t>(Heavy Duty)</w:t>
      </w:r>
      <w:r w:rsidRPr="003B766B">
        <w:t xml:space="preserve">, dodatno zaščito podvozja in visok odmik od tal pa zagotovijo neposredno v tovarni. Pristop </w:t>
      </w:r>
      <w:r w:rsidR="00C12AFF">
        <w:t>'</w:t>
      </w:r>
      <w:r w:rsidRPr="003B766B">
        <w:t>delo na prvem mestu</w:t>
      </w:r>
      <w:r w:rsidR="00C12AFF">
        <w:t>'</w:t>
      </w:r>
      <w:r w:rsidRPr="003B766B">
        <w:t xml:space="preserve"> združuje s serijskim udobjem kabine Rangerja, povezljivostjo in tehnologijami za pomoč vozniku.</w:t>
      </w:r>
      <w:r w:rsidRPr="003B766B">
        <w:rPr>
          <w:vertAlign w:val="superscript"/>
        </w:rPr>
        <w:t>5</w:t>
      </w:r>
    </w:p>
    <w:p w14:paraId="42AC24B0" w14:textId="77777777" w:rsidR="00507984" w:rsidRDefault="00507984" w:rsidP="00507984"/>
    <w:p w14:paraId="61084FDF" w14:textId="74B0BE50" w:rsidR="00507984" w:rsidRDefault="00507984" w:rsidP="00507984">
      <w:r>
        <w:t>“</w:t>
      </w:r>
      <w:r w:rsidR="008E375F" w:rsidRPr="008E375F">
        <w:t>Evropske vlade in predelovalci, ki delujejo v obrambni industriji, čedalje pogosteje iščejo serijska vozila, ki zagotavljajo izjemne zmogljivosti za vojaške potrebe</w:t>
      </w:r>
      <w:r>
        <w:t xml:space="preserve">,” </w:t>
      </w:r>
      <w:r w:rsidR="00414EFA">
        <w:t xml:space="preserve">je povedal </w:t>
      </w:r>
      <w:r>
        <w:t xml:space="preserve">Baumbick. “Ranger Super Duty </w:t>
      </w:r>
      <w:r w:rsidR="00CF1A45" w:rsidRPr="00CF1A45">
        <w:t>je pravo vozilo za to delo. Je najzmogljivejši Ranger, kar smo jih k</w:t>
      </w:r>
      <w:r w:rsidR="00B96D34">
        <w:t>a</w:t>
      </w:r>
      <w:r w:rsidR="00CF1A45" w:rsidRPr="00CF1A45">
        <w:t>da</w:t>
      </w:r>
      <w:r w:rsidR="00B96D34">
        <w:t>r</w:t>
      </w:r>
      <w:r w:rsidR="00CF1A45" w:rsidRPr="00CF1A45">
        <w:t>koli izdelali, in ustvarja nov segment poltovornjakov za velike obremenitve v Evropi. Na voljo je v velikih količinah, neposredno iz naše tovarne</w:t>
      </w:r>
      <w:r>
        <w:t>.”</w:t>
      </w:r>
    </w:p>
    <w:p w14:paraId="16ED1959" w14:textId="77777777" w:rsidR="00507984" w:rsidRDefault="00507984" w:rsidP="00507984"/>
    <w:p w14:paraId="20F21E10" w14:textId="16F40DA6" w:rsidR="00507984" w:rsidRDefault="00507984" w:rsidP="00507984">
      <w:r>
        <w:t xml:space="preserve">· Transit City: </w:t>
      </w:r>
      <w:r w:rsidR="00AD2971" w:rsidRPr="00AD2971">
        <w:t>rešitev za cenovno ozaveščena podjetja v mestih</w:t>
      </w:r>
      <w:r w:rsidR="00AD2971">
        <w:t xml:space="preserve"> z </w:t>
      </w:r>
      <w:r w:rsidR="00AD2971" w:rsidRPr="00AD2971">
        <w:t>izključno električni</w:t>
      </w:r>
      <w:r w:rsidR="00AD2971">
        <w:t>m</w:t>
      </w:r>
      <w:r w:rsidR="00AD2971" w:rsidRPr="00AD2971">
        <w:t xml:space="preserve"> promet</w:t>
      </w:r>
      <w:r w:rsidR="00AD2971">
        <w:t>om</w:t>
      </w:r>
    </w:p>
    <w:p w14:paraId="0377FE2B" w14:textId="3C1B3034" w:rsidR="00507984" w:rsidRDefault="00F8307C" w:rsidP="00507984">
      <w:r w:rsidRPr="00F8307C">
        <w:t>Transit City</w:t>
      </w:r>
      <w:r w:rsidRPr="00F8307C">
        <w:rPr>
          <w:vertAlign w:val="superscript"/>
        </w:rPr>
        <w:t>6</w:t>
      </w:r>
      <w:r w:rsidRPr="00F8307C">
        <w:t xml:space="preserve"> je nov, popolnoma električni dostavnik, zasnovan posebej za vozne parke, ki delujejo v gosto naseljenih mestnih območjih. Ker vedno več mest uvaja območja z izključno električnim prometom, Transit City ponuja preprost in stroškovno učinkovit način za prehod na električni pogon. Da bi stvari ostale preproste in stroški nizki, je na voljo v eni sami bogato opremljeni različici. Na voljo je v treh izvedbah, vključno z izvedbo šasije s kabino za izbiro nadgradnje, in predstavlja praktičnega, cenovno ugodnega partnerja za podjetja, ki delujejo v mestih. V prodajne salone prihaja še letos.</w:t>
      </w:r>
    </w:p>
    <w:p w14:paraId="2D5E6D7F" w14:textId="77777777" w:rsidR="00507984" w:rsidRDefault="00507984" w:rsidP="00507984"/>
    <w:p w14:paraId="1A9B6B9E" w14:textId="6F88F5B7" w:rsidR="00507984" w:rsidRPr="00DA7118" w:rsidRDefault="00DA7118" w:rsidP="00507984">
      <w:pPr>
        <w:rPr>
          <w:b/>
          <w:bCs/>
        </w:rPr>
      </w:pPr>
      <w:r w:rsidRPr="00DA7118">
        <w:rPr>
          <w:b/>
          <w:bCs/>
        </w:rPr>
        <w:t>Nova doba Fordovih osebnih vozil v Evropi</w:t>
      </w:r>
    </w:p>
    <w:p w14:paraId="577C5501" w14:textId="77777777" w:rsidR="00507984" w:rsidRDefault="00507984" w:rsidP="00507984"/>
    <w:p w14:paraId="57D5E193" w14:textId="4EDA0BEE" w:rsidR="00507984" w:rsidRDefault="00ED7B2A" w:rsidP="00507984">
      <w:r w:rsidRPr="00ED7B2A">
        <w:t xml:space="preserve">Ford ima več kot stoletno dirkaško izročilo, zlasti v svetu relijev, ki so avtohtona dirkaška oblika v Evropi. S kombinacijo tega terenskega DNK-ja in zmogljivosti na cesti bo Ford ustvaril vozila s koreninami iz relija, prilagojena Evropi. Fordova nova evropska ponudba </w:t>
      </w:r>
      <w:r w:rsidRPr="00ED7B2A">
        <w:lastRenderedPageBreak/>
        <w:t>bo prinesla vozila z različnimi viri energije, v katerih se vznemirjenje in avantura prepletata z nadzorom in natančnostjo – izdelana za spopadanje z edinstvenimi izzivi evropskih alpskih prelazov, tlakovanih ulic in zavitih cest.</w:t>
      </w:r>
    </w:p>
    <w:p w14:paraId="433BB8EA" w14:textId="77777777" w:rsidR="00507984" w:rsidRDefault="00507984" w:rsidP="00507984"/>
    <w:p w14:paraId="6531D427" w14:textId="25DE9BAE" w:rsidR="00507984" w:rsidRDefault="00FE1344" w:rsidP="00507984">
      <w:r w:rsidRPr="00FE1344">
        <w:t>Do konca leta 2029 bo Ford na trg poslal pet povsem novih osebnih vozil, izdelanih v Evropi za Evropo</w:t>
      </w:r>
      <w:r w:rsidR="00507984">
        <w:t>:</w:t>
      </w:r>
    </w:p>
    <w:p w14:paraId="43A4D2A1" w14:textId="77777777" w:rsidR="00507984" w:rsidRDefault="00507984" w:rsidP="00507984"/>
    <w:p w14:paraId="25314AFF" w14:textId="534D52A3" w:rsidR="00507984" w:rsidRDefault="00507984" w:rsidP="00507984">
      <w:r>
        <w:t xml:space="preserve">· </w:t>
      </w:r>
      <w:r w:rsidR="00DF56B9" w:rsidRPr="00DF56B9">
        <w:t xml:space="preserve">V Evropo prihaja nov član globalne družine Bronco: </w:t>
      </w:r>
      <w:r w:rsidR="00DF56B9">
        <w:t>t</w:t>
      </w:r>
      <w:r w:rsidR="00DF56B9" w:rsidRPr="00DF56B9">
        <w:t>a novi večenergetski član globalne družine Bronco je robusten kompaktni SUV, njegovo proizvodnjo v Fordovem obratu v Valencii v Španiji pa so potrdili za leto 2028.</w:t>
      </w:r>
    </w:p>
    <w:p w14:paraId="6F16F0AD" w14:textId="77777777" w:rsidR="00507984" w:rsidRDefault="00507984" w:rsidP="00507984"/>
    <w:p w14:paraId="5E1C0718" w14:textId="230863AD" w:rsidR="00507984" w:rsidRDefault="00507984" w:rsidP="00507984">
      <w:r>
        <w:t xml:space="preserve">· </w:t>
      </w:r>
      <w:r w:rsidR="009827DB" w:rsidRPr="009827DB">
        <w:t xml:space="preserve">Električna kombilimuzina: to novo majhno električno vozilo združuje izrazito oblikovanje in Fordovo značilno dinamično vožnjo – s čimer v segment B vnaša zmogljivosti </w:t>
      </w:r>
      <w:r w:rsidR="009827DB">
        <w:t>'</w:t>
      </w:r>
      <w:r w:rsidR="009827DB" w:rsidRPr="009827DB">
        <w:t>z dirke na cesto</w:t>
      </w:r>
      <w:r w:rsidR="009827DB">
        <w:t>'</w:t>
      </w:r>
      <w:r w:rsidR="009827DB" w:rsidRPr="009827DB">
        <w:t>.</w:t>
      </w:r>
    </w:p>
    <w:p w14:paraId="7449136F" w14:textId="77777777" w:rsidR="00507984" w:rsidRDefault="00507984" w:rsidP="00507984"/>
    <w:p w14:paraId="327B82DC" w14:textId="597A7CD9" w:rsidR="00507984" w:rsidRDefault="00507984" w:rsidP="00507984">
      <w:r>
        <w:t xml:space="preserve">· </w:t>
      </w:r>
      <w:r w:rsidR="00230525" w:rsidRPr="00230525">
        <w:t>Majhen električni SUV: dinamičen, povsem električen majhen SUV, ki v mestu prijaznem paketu združuje isti oblikovni jezik in dinamično vožnjo, kot ju poznamo iz relija.</w:t>
      </w:r>
    </w:p>
    <w:p w14:paraId="4757FD60" w14:textId="77777777" w:rsidR="00507984" w:rsidRDefault="00507984" w:rsidP="00507984"/>
    <w:p w14:paraId="15A02258" w14:textId="181DDAF2" w:rsidR="00507984" w:rsidRDefault="00507984" w:rsidP="00507984">
      <w:r>
        <w:t xml:space="preserve">· </w:t>
      </w:r>
      <w:r w:rsidR="009C1630" w:rsidRPr="009C1630">
        <w:t xml:space="preserve">Dva večenergetska </w:t>
      </w:r>
      <w:r w:rsidR="009C1630">
        <w:t>'crossoverja'</w:t>
      </w:r>
      <w:r w:rsidR="009C1630" w:rsidRPr="009C1630">
        <w:t xml:space="preserve">: dva dodatna križanca, ki izhajata iz relija, bosta </w:t>
      </w:r>
      <w:r w:rsidR="001C0011" w:rsidRPr="009C1630">
        <w:t xml:space="preserve">novo ponudbo dopolnila </w:t>
      </w:r>
      <w:r w:rsidR="009C1630" w:rsidRPr="009C1630">
        <w:t>do konca leta 2029</w:t>
      </w:r>
      <w:r>
        <w:t>.</w:t>
      </w:r>
    </w:p>
    <w:p w14:paraId="3B5254F9" w14:textId="77777777" w:rsidR="00507984" w:rsidRDefault="00507984" w:rsidP="00507984"/>
    <w:p w14:paraId="6092A77A" w14:textId="3B14B3DD" w:rsidR="00507984" w:rsidRDefault="00507984" w:rsidP="00507984">
      <w:r>
        <w:t>“</w:t>
      </w:r>
      <w:r w:rsidR="0012654E" w:rsidRPr="0012654E">
        <w:t>Popolnoma podpiramo Fordovo strategijo, da v Evropi preide v ofenzivo</w:t>
      </w:r>
      <w:r>
        <w:t xml:space="preserve">,” </w:t>
      </w:r>
      <w:r w:rsidR="0012654E">
        <w:t>je povedal</w:t>
      </w:r>
      <w:r w:rsidR="004B5273">
        <w:t>a</w:t>
      </w:r>
      <w:r w:rsidR="0012654E">
        <w:t xml:space="preserve"> </w:t>
      </w:r>
      <w:r>
        <w:t xml:space="preserve">Nicola Gilda, </w:t>
      </w:r>
      <w:r w:rsidR="006C5A42" w:rsidRPr="006C5A42">
        <w:t>izvršna direktorica Peoples Automotive Group in predsednica Fordovega evropskega sveta trgovcev</w:t>
      </w:r>
      <w:r>
        <w:t>. “</w:t>
      </w:r>
      <w:r w:rsidR="00877384" w:rsidRPr="00877384">
        <w:t>Na podlagi uspeha Ford Pro in ob izkoriščanju Fordovega dirkaškega izročila za oblikovanje novih osebnih vozil je jasno, da se je Ford vrnil, da zmaga.</w:t>
      </w:r>
      <w:r>
        <w:t>”</w:t>
      </w:r>
    </w:p>
    <w:p w14:paraId="752FD70C" w14:textId="77777777" w:rsidR="00507984" w:rsidRDefault="00507984" w:rsidP="00507984"/>
    <w:p w14:paraId="4759DE7F" w14:textId="4C56C005" w:rsidR="00507984" w:rsidRPr="00F22E39" w:rsidRDefault="00F22E39" w:rsidP="00507984">
      <w:pPr>
        <w:rPr>
          <w:b/>
          <w:bCs/>
        </w:rPr>
      </w:pPr>
      <w:r w:rsidRPr="00F22E39">
        <w:rPr>
          <w:b/>
          <w:bCs/>
        </w:rPr>
        <w:t>Partnerstvo za hitrost in obseg</w:t>
      </w:r>
    </w:p>
    <w:p w14:paraId="5DB980C8" w14:textId="77777777" w:rsidR="00507984" w:rsidRDefault="00507984" w:rsidP="00507984"/>
    <w:p w14:paraId="308E5FE9" w14:textId="14642CDA" w:rsidR="00507984" w:rsidRDefault="00E227A3" w:rsidP="00507984">
      <w:r w:rsidRPr="00E227A3">
        <w:t xml:space="preserve">Strateška partnerstva so ključna za to, kako Ford posluje v Evropi, saj pospešujejo razvoj, omogočajo širitev obsega in povečujejo vrednost tako v segmentu gospodarskih kot osebnih vozil. Z združevanjem strokovnega znanja, proizvodnih zmogljivosti in dobavne </w:t>
      </w:r>
      <w:r w:rsidRPr="00E227A3">
        <w:lastRenderedPageBreak/>
        <w:t>baze Forda in njegovih partnerjev obe strani pridobita učinkovitost, konkurenčnost in proizvodni doseg, ki so potrebni za uspeh v eni izmed najbolj konkurenčnih regij na svetu.</w:t>
      </w:r>
    </w:p>
    <w:p w14:paraId="61022CA8" w14:textId="77777777" w:rsidR="00507984" w:rsidRDefault="00507984" w:rsidP="00507984"/>
    <w:p w14:paraId="2B782005" w14:textId="0814DB84" w:rsidR="00507984" w:rsidRDefault="00507984" w:rsidP="00507984">
      <w:r>
        <w:t>“</w:t>
      </w:r>
      <w:r w:rsidR="00DB7758" w:rsidRPr="00DB7758">
        <w:t>To niso samo posli. To so strateški vzvodi</w:t>
      </w:r>
      <w:r>
        <w:t xml:space="preserve">,” </w:t>
      </w:r>
      <w:r w:rsidR="00DB7758">
        <w:t xml:space="preserve">je dejal </w:t>
      </w:r>
      <w:r>
        <w:t>Baumbick. “</w:t>
      </w:r>
      <w:r w:rsidR="0013215A" w:rsidRPr="0013215A">
        <w:t xml:space="preserve">Sodelujemo z najboljšimi, da lahko delujemo hitro in v velikem obsegu, ter smo obsedeni z izdelkom, da lahko ponudimo strastna, </w:t>
      </w:r>
      <w:r w:rsidR="0013215A">
        <w:t>prep</w:t>
      </w:r>
      <w:r w:rsidR="00F73263">
        <w:t xml:space="preserve">ričljivo </w:t>
      </w:r>
      <w:r w:rsidR="0013215A" w:rsidRPr="0013215A">
        <w:t>Fordova vozila</w:t>
      </w:r>
      <w:r>
        <w:t>.”</w:t>
      </w:r>
    </w:p>
    <w:p w14:paraId="3A712460" w14:textId="77777777" w:rsidR="00507984" w:rsidRDefault="00507984" w:rsidP="00507984"/>
    <w:p w14:paraId="218D586F" w14:textId="4C418D28" w:rsidR="00507984" w:rsidRPr="00F73263" w:rsidRDefault="00F73263" w:rsidP="00507984">
      <w:pPr>
        <w:rPr>
          <w:b/>
          <w:bCs/>
        </w:rPr>
      </w:pPr>
      <w:r w:rsidRPr="00F73263">
        <w:rPr>
          <w:b/>
          <w:bCs/>
        </w:rPr>
        <w:t>Praktična pot do brezogljične mobilnosti</w:t>
      </w:r>
    </w:p>
    <w:p w14:paraId="468660D5" w14:textId="77777777" w:rsidR="00507984" w:rsidRDefault="00507984" w:rsidP="00507984"/>
    <w:p w14:paraId="2C3DA24C" w14:textId="58A5E660" w:rsidR="00507984" w:rsidRDefault="005D252B" w:rsidP="00507984">
      <w:r w:rsidRPr="005D252B">
        <w:t>Ford že več kot 100 let oskrbuje evropske voznike in podjetja z avtomobili, pickupi in dostavnimi vozili, ki jih imajo radi in ki izboljšujejo njihovo življenje. Ford se zavzema za podporo strankam na poti k prihodnosti brez emisij, vendar so posledice kontraproduktivne, če so cilji glede emisij ločeni od realnosti potrošniškega povpraševanja: kupci dlje zadržujejo starejša vozila z višjimi emisijami, kar ogroža ekonomsko upravičenost industrijskih naložb.</w:t>
      </w:r>
    </w:p>
    <w:p w14:paraId="53880C0F" w14:textId="77777777" w:rsidR="00507984" w:rsidRDefault="00507984" w:rsidP="00507984"/>
    <w:p w14:paraId="25437C1C" w14:textId="21E13AE8" w:rsidR="00507984" w:rsidRDefault="00AB7AED" w:rsidP="00507984">
      <w:r w:rsidRPr="00AB7AED">
        <w:t>Poleg tega morajo pravila 'Made in Europe' odražati realnost integriranih regionalnih dobavnih verig ter pomembno vlogo, ki jo v našem industrijskem ekosistemu igrajo regionalni partnerji, kot so Turčija, Maroko in Združeno kraljestvo. Izključitev ali omejitev teh trgov bo oslabila evropsko konkurenčnost in na koncu povečala stroške za potrošnike.</w:t>
      </w:r>
    </w:p>
    <w:p w14:paraId="28FCFDCA" w14:textId="77777777" w:rsidR="00507984" w:rsidRDefault="00507984" w:rsidP="00507984"/>
    <w:p w14:paraId="0CA0EA07" w14:textId="1CA41707" w:rsidR="00507984" w:rsidRDefault="00EC6E43" w:rsidP="00507984">
      <w:r w:rsidRPr="00EC6E43">
        <w:t>Evropa nujno potrebuje regulativni okvir, ki cilje usklajuje z izbiro potrošnikov in zagotavlja realističen, zanesljiv časovni okvir za načrtovanje. Ford poziva k pristopu, ki daje prednost strankam</w:t>
      </w:r>
      <w:r w:rsidR="00507984">
        <w:t>:</w:t>
      </w:r>
    </w:p>
    <w:p w14:paraId="143ED880" w14:textId="77777777" w:rsidR="00507984" w:rsidRDefault="00507984" w:rsidP="00507984"/>
    <w:p w14:paraId="4A0464B1" w14:textId="5F08E790" w:rsidR="00507984" w:rsidRDefault="00507984" w:rsidP="00507984">
      <w:r>
        <w:t xml:space="preserve">· </w:t>
      </w:r>
      <w:r w:rsidR="00650FAE" w:rsidRPr="00650FAE">
        <w:t>Realistični cilji in ustrezna infrastruktura za polnjenje: cilji glede CO</w:t>
      </w:r>
      <w:r w:rsidR="00650FAE" w:rsidRPr="00C34DEF">
        <w:rPr>
          <w:vertAlign w:val="subscript"/>
        </w:rPr>
        <w:t>2</w:t>
      </w:r>
      <w:r w:rsidR="00650FAE" w:rsidRPr="00650FAE">
        <w:t xml:space="preserve"> morajo odražati dejansko povpraševanje uporabnikov in realnost infrastrukture. Siljenje prehoda, ki je hitrejši od trga, tvega upočasnitev stopnje obnove vozil – ključnega dejavnika pri zmanjševanju emisij.</w:t>
      </w:r>
    </w:p>
    <w:p w14:paraId="2597AB00" w14:textId="77777777" w:rsidR="00507984" w:rsidRDefault="00507984" w:rsidP="00507984"/>
    <w:p w14:paraId="4687EA87" w14:textId="1BEDBF1C" w:rsidR="00507984" w:rsidRDefault="00507984" w:rsidP="00507984">
      <w:r>
        <w:t xml:space="preserve">· </w:t>
      </w:r>
      <w:r w:rsidR="00AF3040" w:rsidRPr="00AF3040">
        <w:t xml:space="preserve">Nova pot: zakonodaja mora podpirati in spodbujati elektrificirane tehnologije, kot so priključni hibridi (PHEV) in električna vozila s podaljšanim dosegom (EREV), ki ponujajo </w:t>
      </w:r>
      <w:r w:rsidR="00AF3040" w:rsidRPr="00AF3040">
        <w:lastRenderedPageBreak/>
        <w:t>praktično pot do popolnoma električne prihodnosti. Te tehnologije družinam in podjetjem omogočajo, da že danes začnejo zmanjševati emisije ter tako povečajo število prevoženih električnih kilometrov, medtem ko se po vsej Evropi gradi potrebna polnilna infrastruktura.</w:t>
      </w:r>
    </w:p>
    <w:p w14:paraId="673D1A7A" w14:textId="77777777" w:rsidR="00507984" w:rsidRDefault="00507984" w:rsidP="00507984"/>
    <w:p w14:paraId="2E2DA791" w14:textId="53A9C82F" w:rsidR="00507984" w:rsidRDefault="00507984" w:rsidP="00507984">
      <w:r>
        <w:t xml:space="preserve">· </w:t>
      </w:r>
      <w:r w:rsidR="007D64B3" w:rsidRPr="007D64B3">
        <w:t>Zaščita malih podjetij: okoli 10 odstotkov novih dostavnih vozil je električnih, saj se podjetja spopadajo z infrastrukturo za polnjenje, optimizirano za osebna vozila, in zamudami pri pridobivanju dostopa do omrežja za skladišča. Vsiljevanje agresivnih ciljev glede gospodarskih vozil deluje kot davek za vodovodarje, gradbenike in voznike dostavnih vozil, ki poganjajo evropsko gospodarstvo.</w:t>
      </w:r>
    </w:p>
    <w:p w14:paraId="28823913" w14:textId="77777777" w:rsidR="00507984" w:rsidRDefault="00507984" w:rsidP="00507984"/>
    <w:p w14:paraId="26D447C0" w14:textId="67DE2174" w:rsidR="00507984" w:rsidRDefault="00507984" w:rsidP="00507984">
      <w:r>
        <w:t>“</w:t>
      </w:r>
      <w:r w:rsidR="002C5881" w:rsidRPr="002C5881">
        <w:t>Vozil ne izdelujemo zato, da bi izpolnili zakonske zahteve; izdelujemo jih za ljudi</w:t>
      </w:r>
      <w:r>
        <w:t xml:space="preserve">,” </w:t>
      </w:r>
      <w:r w:rsidR="002C5881">
        <w:t xml:space="preserve">je zaključil </w:t>
      </w:r>
      <w:r>
        <w:t>Baumbick. “</w:t>
      </w:r>
      <w:r w:rsidR="009763CE" w:rsidRPr="009763CE">
        <w:t>Najhitrejša pot do ničelnih emisij je tista, ki jo bodo dejansko ubrale stranke. Zmanjšanje emisij lahko danes pospešimo s hibridnimi tehnologijami, ki strankam omogočajo vožnjo na električni pogon, kadarkoli je to mogoče.</w:t>
      </w:r>
      <w:r>
        <w:t>”</w:t>
      </w:r>
    </w:p>
    <w:p w14:paraId="38D14CEB" w14:textId="77777777" w:rsidR="00507984" w:rsidRDefault="00507984" w:rsidP="00507984"/>
    <w:p w14:paraId="5080A7BD" w14:textId="77777777" w:rsidR="00507984" w:rsidRDefault="00507984" w:rsidP="00507984"/>
    <w:p w14:paraId="72AFEBBA" w14:textId="5E9FB8B0" w:rsidR="00507984" w:rsidRPr="00943524" w:rsidRDefault="00507984" w:rsidP="00507984">
      <w:pPr>
        <w:rPr>
          <w:sz w:val="20"/>
          <w:szCs w:val="20"/>
        </w:rPr>
      </w:pPr>
      <w:r w:rsidRPr="00943524">
        <w:rPr>
          <w:sz w:val="20"/>
          <w:szCs w:val="20"/>
        </w:rPr>
        <w:t xml:space="preserve">1 </w:t>
      </w:r>
      <w:r w:rsidR="00DF1BBF" w:rsidRPr="00DF1BBF">
        <w:rPr>
          <w:sz w:val="20"/>
          <w:szCs w:val="20"/>
        </w:rPr>
        <w:t>Na podlagi podatkov o prodaji agencije S&amp;P Global Mobility za leto 202</w:t>
      </w:r>
      <w:r w:rsidR="00DF1BBF">
        <w:rPr>
          <w:sz w:val="20"/>
          <w:szCs w:val="20"/>
        </w:rPr>
        <w:t>5</w:t>
      </w:r>
      <w:r w:rsidR="00DF1BBF" w:rsidRPr="00DF1BBF">
        <w:rPr>
          <w:sz w:val="20"/>
          <w:szCs w:val="20"/>
        </w:rPr>
        <w:t>. Vključene so naslednje države: Avstrija, Belgija, Češka, Danska, Finska, Francija, Grčija, Irska, Italija, Madžarska, Nemčija, Nizozemska, Norveška, Poljska, Portugalska, Romunija, Španija, Švedska, Švica, Velika Britanija</w:t>
      </w:r>
      <w:r w:rsidRPr="00943524">
        <w:rPr>
          <w:sz w:val="20"/>
          <w:szCs w:val="20"/>
        </w:rPr>
        <w:t>.</w:t>
      </w:r>
    </w:p>
    <w:p w14:paraId="61F33841" w14:textId="77777777" w:rsidR="00507984" w:rsidRPr="00943524" w:rsidRDefault="00507984" w:rsidP="00507984">
      <w:pPr>
        <w:rPr>
          <w:sz w:val="20"/>
          <w:szCs w:val="20"/>
        </w:rPr>
      </w:pPr>
    </w:p>
    <w:p w14:paraId="4AC1EEDA" w14:textId="68F1CB62" w:rsidR="00507984" w:rsidRPr="00943524" w:rsidRDefault="00507984" w:rsidP="00507984">
      <w:pPr>
        <w:rPr>
          <w:sz w:val="20"/>
          <w:szCs w:val="20"/>
        </w:rPr>
      </w:pPr>
      <w:r w:rsidRPr="00943524">
        <w:rPr>
          <w:sz w:val="20"/>
          <w:szCs w:val="20"/>
        </w:rPr>
        <w:t xml:space="preserve">2 </w:t>
      </w:r>
      <w:r w:rsidR="00FE7CCF" w:rsidRPr="00FE7CCF">
        <w:rPr>
          <w:sz w:val="20"/>
          <w:szCs w:val="20"/>
        </w:rPr>
        <w:t>Po izračunih družbe Ford.</w:t>
      </w:r>
    </w:p>
    <w:p w14:paraId="0CF507DA" w14:textId="77777777" w:rsidR="00507984" w:rsidRPr="00943524" w:rsidRDefault="00507984" w:rsidP="00507984">
      <w:pPr>
        <w:rPr>
          <w:sz w:val="20"/>
          <w:szCs w:val="20"/>
        </w:rPr>
      </w:pPr>
    </w:p>
    <w:p w14:paraId="2F3AE3D4" w14:textId="7141E188" w:rsidR="00507984" w:rsidRPr="00943524" w:rsidRDefault="00507984" w:rsidP="00507984">
      <w:pPr>
        <w:rPr>
          <w:sz w:val="20"/>
          <w:szCs w:val="20"/>
        </w:rPr>
      </w:pPr>
      <w:r w:rsidRPr="00943524">
        <w:rPr>
          <w:sz w:val="20"/>
          <w:szCs w:val="20"/>
        </w:rPr>
        <w:t xml:space="preserve">3 </w:t>
      </w:r>
      <w:r w:rsidR="009C5F10" w:rsidRPr="009C5F10">
        <w:rPr>
          <w:sz w:val="20"/>
          <w:szCs w:val="20"/>
        </w:rPr>
        <w:t>Največja nosilnost se razlikuje in temelji na dodatni opremi in konfiguraciji vozila. Za kapaciteto specifičnega vozila glede prevoza tovora glejte nalepko na stebričku vrat. Tovor vedno ustrezno pritrdite. Zmogljivost za prevoz prtljage in natovarjanje je omejena z maso in porazdelitvijo mase.</w:t>
      </w:r>
    </w:p>
    <w:p w14:paraId="0143073F" w14:textId="77777777" w:rsidR="00507984" w:rsidRPr="00943524" w:rsidRDefault="00507984" w:rsidP="00507984">
      <w:pPr>
        <w:rPr>
          <w:sz w:val="20"/>
          <w:szCs w:val="20"/>
        </w:rPr>
      </w:pPr>
    </w:p>
    <w:p w14:paraId="0379BD74" w14:textId="2CE2503F" w:rsidR="00507984" w:rsidRPr="00943524" w:rsidRDefault="00507984" w:rsidP="00507984">
      <w:pPr>
        <w:rPr>
          <w:sz w:val="20"/>
          <w:szCs w:val="20"/>
        </w:rPr>
      </w:pPr>
      <w:r w:rsidRPr="00943524">
        <w:rPr>
          <w:sz w:val="20"/>
          <w:szCs w:val="20"/>
        </w:rPr>
        <w:t xml:space="preserve">4 </w:t>
      </w:r>
      <w:r w:rsidR="00E76C83" w:rsidRPr="00E76C83">
        <w:rPr>
          <w:sz w:val="20"/>
          <w:szCs w:val="20"/>
        </w:rPr>
        <w:t>Ob ustrezni opremi. Največja dovoljena vlečna masa se razlikuje glede na tovor, konfiguracijo vozila, dodatno opremo in število potnikov.</w:t>
      </w:r>
    </w:p>
    <w:p w14:paraId="7065BC24" w14:textId="77777777" w:rsidR="00507984" w:rsidRPr="00943524" w:rsidRDefault="00507984" w:rsidP="00507984">
      <w:pPr>
        <w:rPr>
          <w:sz w:val="20"/>
          <w:szCs w:val="20"/>
        </w:rPr>
      </w:pPr>
    </w:p>
    <w:p w14:paraId="09EFB4D7" w14:textId="2350C367" w:rsidR="00507984" w:rsidRPr="00943524" w:rsidRDefault="00507984" w:rsidP="00507984">
      <w:pPr>
        <w:rPr>
          <w:sz w:val="20"/>
          <w:szCs w:val="20"/>
        </w:rPr>
      </w:pPr>
      <w:r w:rsidRPr="00943524">
        <w:rPr>
          <w:sz w:val="20"/>
          <w:szCs w:val="20"/>
        </w:rPr>
        <w:t xml:space="preserve">5 </w:t>
      </w:r>
      <w:r w:rsidR="00FF3E39" w:rsidRPr="00FF3E39">
        <w:rPr>
          <w:sz w:val="20"/>
          <w:szCs w:val="20"/>
        </w:rPr>
        <w:t>Funkcije za pomoč vozniku dopolnjujejo in ne nadomeščajo voznikove pozornosti, presoje in potrebe po upravljanju vozila. Prav tako niso nadomestek za varno vožnjo. Glede podrobnosti in omejitev glejte navodila za uporabo vozila</w:t>
      </w:r>
      <w:r w:rsidRPr="00943524">
        <w:rPr>
          <w:sz w:val="20"/>
          <w:szCs w:val="20"/>
        </w:rPr>
        <w:t>.</w:t>
      </w:r>
    </w:p>
    <w:p w14:paraId="4BF944CB" w14:textId="77777777" w:rsidR="00507984" w:rsidRPr="00943524" w:rsidRDefault="00507984" w:rsidP="00507984">
      <w:pPr>
        <w:rPr>
          <w:sz w:val="20"/>
          <w:szCs w:val="20"/>
        </w:rPr>
      </w:pPr>
    </w:p>
    <w:p w14:paraId="430EB3D4" w14:textId="486272F7" w:rsidR="006E4834" w:rsidRPr="00943524" w:rsidRDefault="00507984" w:rsidP="00507984">
      <w:pPr>
        <w:rPr>
          <w:sz w:val="20"/>
          <w:szCs w:val="20"/>
        </w:rPr>
      </w:pPr>
      <w:r w:rsidRPr="00943524">
        <w:rPr>
          <w:sz w:val="20"/>
          <w:szCs w:val="20"/>
        </w:rPr>
        <w:t xml:space="preserve">6 </w:t>
      </w:r>
      <w:r w:rsidR="0027058D" w:rsidRPr="0027058D">
        <w:rPr>
          <w:sz w:val="20"/>
          <w:szCs w:val="20"/>
        </w:rPr>
        <w:t>Predvideni c</w:t>
      </w:r>
      <w:r w:rsidR="002A42EA" w:rsidRPr="0027058D">
        <w:rPr>
          <w:sz w:val="20"/>
          <w:szCs w:val="20"/>
        </w:rPr>
        <w:t xml:space="preserve">iljni doseg je bil izračunan na podlagi Fordovih internih testiranj. Ciljni doseg do 254 km temelji na povsem napolnjeni bateriji modela Transit City. Uradno homologirani podatki o dosegu bodo </w:t>
      </w:r>
      <w:r w:rsidR="002A42EA" w:rsidRPr="0027058D">
        <w:rPr>
          <w:sz w:val="20"/>
          <w:szCs w:val="20"/>
        </w:rPr>
        <w:lastRenderedPageBreak/>
        <w:t>objavljeni pred začetkom prodaje</w:t>
      </w:r>
      <w:r w:rsidR="000753FB" w:rsidRPr="0027058D">
        <w:rPr>
          <w:sz w:val="20"/>
          <w:szCs w:val="20"/>
        </w:rPr>
        <w:t>.</w:t>
      </w:r>
      <w:r w:rsidRPr="0027058D">
        <w:rPr>
          <w:sz w:val="20"/>
          <w:szCs w:val="20"/>
        </w:rPr>
        <w:t xml:space="preserve"> </w:t>
      </w:r>
      <w:r w:rsidR="005F391A" w:rsidRPr="005F391A">
        <w:rPr>
          <w:sz w:val="20"/>
          <w:szCs w:val="20"/>
        </w:rPr>
        <w:t>Navedeni podatki o porabi goriva/energije, izpustih CO</w:t>
      </w:r>
      <w:r w:rsidR="005F391A" w:rsidRPr="00C34DEF">
        <w:rPr>
          <w:sz w:val="20"/>
          <w:szCs w:val="20"/>
          <w:vertAlign w:val="subscript"/>
        </w:rPr>
        <w:t>2</w:t>
      </w:r>
      <w:r w:rsidR="005F391A" w:rsidRPr="005F391A">
        <w:rPr>
          <w:sz w:val="20"/>
          <w:szCs w:val="20"/>
        </w:rPr>
        <w:t xml:space="preserve"> in dosegu z električnim pogonom so določeni v skladu s tehničnimi zahtevami in specifikacijami zadnje različice Evropskih uredb (EC) 715/2007 in (EU) 2017/1151. Uporabljeni standardni preskusni postopki omogočajo primerjavo med različnimi tipi vozil in različnimi proizvajalci. </w:t>
      </w:r>
      <w:r w:rsidR="00C34DEF" w:rsidRPr="000D4751">
        <w:rPr>
          <w:i/>
          <w:iCs/>
          <w:sz w:val="20"/>
          <w:szCs w:val="20"/>
        </w:rPr>
        <w:t xml:space="preserve">Navedeni podatki so namenjeni za primerjave z drugimi vozili, testiranimi po enakih tehničnih </w:t>
      </w:r>
      <w:r w:rsidR="00C34DEF" w:rsidRPr="00C34DEF">
        <w:rPr>
          <w:sz w:val="20"/>
          <w:szCs w:val="20"/>
        </w:rPr>
        <w:t>postopkih. Dejanski doseg se lahko razlikuje glede na dejavnike, kot so temperatura, način vožnje, profil poti, vzdrževanje vozila ter starost in stanje litij-ionske baterije</w:t>
      </w:r>
      <w:r w:rsidRPr="00943524">
        <w:rPr>
          <w:sz w:val="20"/>
          <w:szCs w:val="20"/>
        </w:rPr>
        <w:t>.</w:t>
      </w:r>
    </w:p>
    <w:sectPr w:rsidR="006E4834" w:rsidRPr="009435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984"/>
    <w:rsid w:val="000753FB"/>
    <w:rsid w:val="000973C1"/>
    <w:rsid w:val="0012654E"/>
    <w:rsid w:val="0013215A"/>
    <w:rsid w:val="00140A7B"/>
    <w:rsid w:val="00164385"/>
    <w:rsid w:val="001C0011"/>
    <w:rsid w:val="00213F33"/>
    <w:rsid w:val="00230525"/>
    <w:rsid w:val="002450F4"/>
    <w:rsid w:val="00260EA9"/>
    <w:rsid w:val="0027058D"/>
    <w:rsid w:val="00276458"/>
    <w:rsid w:val="002A42EA"/>
    <w:rsid w:val="002C5881"/>
    <w:rsid w:val="003B766B"/>
    <w:rsid w:val="003C4F52"/>
    <w:rsid w:val="00414EFA"/>
    <w:rsid w:val="0047720C"/>
    <w:rsid w:val="004942A7"/>
    <w:rsid w:val="004B5273"/>
    <w:rsid w:val="005043DE"/>
    <w:rsid w:val="00507046"/>
    <w:rsid w:val="00507984"/>
    <w:rsid w:val="005D252B"/>
    <w:rsid w:val="005F04B9"/>
    <w:rsid w:val="005F391A"/>
    <w:rsid w:val="00650FAE"/>
    <w:rsid w:val="006B33AE"/>
    <w:rsid w:val="006B58BB"/>
    <w:rsid w:val="006C5A42"/>
    <w:rsid w:val="006D0E65"/>
    <w:rsid w:val="006E4834"/>
    <w:rsid w:val="00722659"/>
    <w:rsid w:val="00735E50"/>
    <w:rsid w:val="007D64B3"/>
    <w:rsid w:val="008006DC"/>
    <w:rsid w:val="008504DD"/>
    <w:rsid w:val="00874BC0"/>
    <w:rsid w:val="00877384"/>
    <w:rsid w:val="008A52F9"/>
    <w:rsid w:val="008E375F"/>
    <w:rsid w:val="00943524"/>
    <w:rsid w:val="009763CE"/>
    <w:rsid w:val="009827DB"/>
    <w:rsid w:val="009C1630"/>
    <w:rsid w:val="009C5F10"/>
    <w:rsid w:val="009F4ECE"/>
    <w:rsid w:val="00A864CC"/>
    <w:rsid w:val="00A92927"/>
    <w:rsid w:val="00AB7AED"/>
    <w:rsid w:val="00AD2971"/>
    <w:rsid w:val="00AF3040"/>
    <w:rsid w:val="00B553FA"/>
    <w:rsid w:val="00B86F0A"/>
    <w:rsid w:val="00B96D34"/>
    <w:rsid w:val="00BE49E5"/>
    <w:rsid w:val="00C12AFF"/>
    <w:rsid w:val="00C34DEF"/>
    <w:rsid w:val="00C77760"/>
    <w:rsid w:val="00C8447A"/>
    <w:rsid w:val="00CE0179"/>
    <w:rsid w:val="00CF1A45"/>
    <w:rsid w:val="00CF45F9"/>
    <w:rsid w:val="00CF65BB"/>
    <w:rsid w:val="00D63790"/>
    <w:rsid w:val="00DA7118"/>
    <w:rsid w:val="00DB70D7"/>
    <w:rsid w:val="00DB7758"/>
    <w:rsid w:val="00DF1BBF"/>
    <w:rsid w:val="00DF56B9"/>
    <w:rsid w:val="00DF77CD"/>
    <w:rsid w:val="00E059DB"/>
    <w:rsid w:val="00E227A3"/>
    <w:rsid w:val="00E73458"/>
    <w:rsid w:val="00E76C83"/>
    <w:rsid w:val="00E77635"/>
    <w:rsid w:val="00EB129B"/>
    <w:rsid w:val="00EC6E43"/>
    <w:rsid w:val="00ED7B2A"/>
    <w:rsid w:val="00F22E39"/>
    <w:rsid w:val="00F4472C"/>
    <w:rsid w:val="00F73263"/>
    <w:rsid w:val="00F8307C"/>
    <w:rsid w:val="00FE1344"/>
    <w:rsid w:val="00FE7CCF"/>
    <w:rsid w:val="00FF25EB"/>
    <w:rsid w:val="00FF3E3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780BC"/>
  <w15:chartTrackingRefBased/>
  <w15:docId w15:val="{0F0A6765-D19B-4A63-83D2-57F9B74FF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5079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5079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507984"/>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507984"/>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507984"/>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507984"/>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507984"/>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507984"/>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507984"/>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507984"/>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507984"/>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507984"/>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507984"/>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507984"/>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507984"/>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507984"/>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507984"/>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507984"/>
    <w:rPr>
      <w:rFonts w:eastAsiaTheme="majorEastAsia" w:cstheme="majorBidi"/>
      <w:color w:val="272727" w:themeColor="text1" w:themeTint="D8"/>
    </w:rPr>
  </w:style>
  <w:style w:type="paragraph" w:styleId="Naslov">
    <w:name w:val="Title"/>
    <w:basedOn w:val="Navaden"/>
    <w:next w:val="Navaden"/>
    <w:link w:val="NaslovZnak"/>
    <w:uiPriority w:val="10"/>
    <w:qFormat/>
    <w:rsid w:val="005079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507984"/>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507984"/>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507984"/>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507984"/>
    <w:pPr>
      <w:spacing w:before="160"/>
      <w:jc w:val="center"/>
    </w:pPr>
    <w:rPr>
      <w:i/>
      <w:iCs/>
      <w:color w:val="404040" w:themeColor="text1" w:themeTint="BF"/>
    </w:rPr>
  </w:style>
  <w:style w:type="character" w:customStyle="1" w:styleId="CitatZnak">
    <w:name w:val="Citat Znak"/>
    <w:basedOn w:val="Privzetapisavaodstavka"/>
    <w:link w:val="Citat"/>
    <w:uiPriority w:val="29"/>
    <w:rsid w:val="00507984"/>
    <w:rPr>
      <w:i/>
      <w:iCs/>
      <w:color w:val="404040" w:themeColor="text1" w:themeTint="BF"/>
    </w:rPr>
  </w:style>
  <w:style w:type="paragraph" w:styleId="Odstavekseznama">
    <w:name w:val="List Paragraph"/>
    <w:basedOn w:val="Navaden"/>
    <w:uiPriority w:val="34"/>
    <w:qFormat/>
    <w:rsid w:val="00507984"/>
    <w:pPr>
      <w:ind w:left="720"/>
      <w:contextualSpacing/>
    </w:pPr>
  </w:style>
  <w:style w:type="character" w:styleId="Intenzivenpoudarek">
    <w:name w:val="Intense Emphasis"/>
    <w:basedOn w:val="Privzetapisavaodstavka"/>
    <w:uiPriority w:val="21"/>
    <w:qFormat/>
    <w:rsid w:val="00507984"/>
    <w:rPr>
      <w:i/>
      <w:iCs/>
      <w:color w:val="0F4761" w:themeColor="accent1" w:themeShade="BF"/>
    </w:rPr>
  </w:style>
  <w:style w:type="paragraph" w:styleId="Intenzivencitat">
    <w:name w:val="Intense Quote"/>
    <w:basedOn w:val="Navaden"/>
    <w:next w:val="Navaden"/>
    <w:link w:val="IntenzivencitatZnak"/>
    <w:uiPriority w:val="30"/>
    <w:qFormat/>
    <w:rsid w:val="005079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507984"/>
    <w:rPr>
      <w:i/>
      <w:iCs/>
      <w:color w:val="0F4761" w:themeColor="accent1" w:themeShade="BF"/>
    </w:rPr>
  </w:style>
  <w:style w:type="character" w:styleId="Intenzivensklic">
    <w:name w:val="Intense Reference"/>
    <w:basedOn w:val="Privzetapisavaodstavka"/>
    <w:uiPriority w:val="32"/>
    <w:qFormat/>
    <w:rsid w:val="0050798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1928</Words>
  <Characters>10994</Characters>
  <Application>Microsoft Office Word</Application>
  <DocSecurity>0</DocSecurity>
  <Lines>91</Lines>
  <Paragraphs>25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Katja Hvala</dc:creator>
  <cp:keywords/>
  <dc:description/>
  <cp:lastModifiedBy>Katja Hvala</cp:lastModifiedBy>
  <cp:revision>4</cp:revision>
  <dcterms:created xsi:type="dcterms:W3CDTF">2026-05-20T09:08:00Z</dcterms:created>
  <dcterms:modified xsi:type="dcterms:W3CDTF">2026-05-20T14:52:00Z</dcterms:modified>
</cp:coreProperties>
</file>